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DE5D4" w14:textId="77777777" w:rsidR="007E5B67" w:rsidRPr="0063398F" w:rsidRDefault="00ED56E3" w:rsidP="0063398F">
      <w:pPr>
        <w:spacing w:line="480" w:lineRule="auto"/>
        <w:ind w:firstLine="720"/>
        <w:rPr>
          <w:b/>
          <w:sz w:val="24"/>
          <w:szCs w:val="24"/>
        </w:rPr>
      </w:pPr>
      <w:r w:rsidRPr="0063398F">
        <w:rPr>
          <w:b/>
          <w:sz w:val="24"/>
          <w:szCs w:val="24"/>
        </w:rPr>
        <w:t>Module A: Probability and Statistics</w:t>
      </w:r>
    </w:p>
    <w:p w14:paraId="269DCA4C" w14:textId="6D6B9871" w:rsidR="00562897" w:rsidRDefault="007E5B67" w:rsidP="0063398F">
      <w:pPr>
        <w:spacing w:line="480" w:lineRule="auto"/>
        <w:ind w:firstLine="720"/>
        <w:rPr>
          <w:sz w:val="24"/>
          <w:szCs w:val="24"/>
        </w:rPr>
      </w:pPr>
      <w:r w:rsidRPr="0063398F">
        <w:rPr>
          <w:sz w:val="24"/>
          <w:szCs w:val="24"/>
        </w:rPr>
        <w:t>The main mathematical concepts that this module focussed on were equi-</w:t>
      </w:r>
      <w:r w:rsidR="007941D3">
        <w:rPr>
          <w:sz w:val="24"/>
          <w:szCs w:val="24"/>
        </w:rPr>
        <w:t xml:space="preserve">probability bias and argumentation, </w:t>
      </w:r>
      <w:r w:rsidRPr="0063398F">
        <w:rPr>
          <w:sz w:val="24"/>
          <w:szCs w:val="24"/>
        </w:rPr>
        <w:t>intuitive thinking</w:t>
      </w:r>
      <w:r w:rsidR="007941D3">
        <w:rPr>
          <w:sz w:val="24"/>
          <w:szCs w:val="24"/>
        </w:rPr>
        <w:t>, and pooling data</w:t>
      </w:r>
      <w:r w:rsidRPr="0063398F">
        <w:rPr>
          <w:sz w:val="24"/>
          <w:szCs w:val="24"/>
        </w:rPr>
        <w:t xml:space="preserve">. Fielding-Wells (2014) explains equi-probability bias as a student’s tendency to believe that all outcomes in a process has an equal or even probability, </w:t>
      </w:r>
      <w:r w:rsidR="00562897" w:rsidRPr="0063398F">
        <w:rPr>
          <w:sz w:val="24"/>
          <w:szCs w:val="24"/>
        </w:rPr>
        <w:t xml:space="preserve">even when that is not the case. When solving probability and statistics problems, an equi-probability bias would result in theoretically expected outcomes being misinterpreted </w:t>
      </w:r>
      <w:r w:rsidR="0063398F">
        <w:rPr>
          <w:sz w:val="24"/>
          <w:szCs w:val="24"/>
        </w:rPr>
        <w:t>as being equally likely, making unfair games appear fair.</w:t>
      </w:r>
    </w:p>
    <w:p w14:paraId="14BA9183" w14:textId="4FD5E622" w:rsidR="00562897" w:rsidRPr="0063398F" w:rsidRDefault="0063398F" w:rsidP="0063398F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Another idea explored by Fielding-Wells (2014) was argumentation</w:t>
      </w:r>
      <w:r w:rsidR="00864AC4">
        <w:rPr>
          <w:sz w:val="24"/>
          <w:szCs w:val="24"/>
        </w:rPr>
        <w:t>; a mathematical discussion in which one attempts to convince others that their conclusion is th</w:t>
      </w:r>
      <w:r w:rsidR="00E86244">
        <w:rPr>
          <w:sz w:val="24"/>
          <w:szCs w:val="24"/>
        </w:rPr>
        <w:t>e most correct. A</w:t>
      </w:r>
      <w:r w:rsidR="00864AC4">
        <w:rPr>
          <w:sz w:val="24"/>
          <w:szCs w:val="24"/>
        </w:rPr>
        <w:t>rgumentation is important to teachin</w:t>
      </w:r>
      <w:r w:rsidR="00E86244">
        <w:rPr>
          <w:sz w:val="24"/>
          <w:szCs w:val="24"/>
        </w:rPr>
        <w:t xml:space="preserve">g and learning mathematics as the process consolidates the individuals’ sense of the phenomena, </w:t>
      </w:r>
      <w:r w:rsidR="007825CE">
        <w:rPr>
          <w:sz w:val="24"/>
          <w:szCs w:val="24"/>
        </w:rPr>
        <w:t>as they articulate their thinking in order to persuade others.</w:t>
      </w:r>
      <w:r w:rsidR="00897213">
        <w:rPr>
          <w:sz w:val="24"/>
          <w:szCs w:val="24"/>
        </w:rPr>
        <w:t xml:space="preserve"> The process of argumentation </w:t>
      </w:r>
      <w:r w:rsidR="00F44037">
        <w:rPr>
          <w:sz w:val="24"/>
          <w:szCs w:val="24"/>
        </w:rPr>
        <w:t>aims to deepen an individual’s relational understanding of mathematical concepts and challenge their equi-probability bias.</w:t>
      </w:r>
    </w:p>
    <w:p w14:paraId="24581E41" w14:textId="6AD88B45" w:rsidR="00562897" w:rsidRPr="0063398F" w:rsidRDefault="007825CE" w:rsidP="0063398F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 third concepts, intuitive thinking, refers to a feeling that does not rely on facts or data, but instead of an individuals’ feelings</w:t>
      </w:r>
      <w:r w:rsidR="00897213">
        <w:rPr>
          <w:sz w:val="24"/>
          <w:szCs w:val="24"/>
        </w:rPr>
        <w:t>, which their</w:t>
      </w:r>
      <w:r>
        <w:rPr>
          <w:sz w:val="24"/>
          <w:szCs w:val="24"/>
        </w:rPr>
        <w:t xml:space="preserve"> idea of </w:t>
      </w:r>
      <w:r w:rsidR="00897213">
        <w:rPr>
          <w:sz w:val="24"/>
          <w:szCs w:val="24"/>
        </w:rPr>
        <w:t xml:space="preserve">fairness in probability and statistics </w:t>
      </w:r>
      <w:r w:rsidR="00897213">
        <w:rPr>
          <w:sz w:val="24"/>
          <w:szCs w:val="24"/>
        </w:rPr>
        <w:t>(Aspinwall &amp; Shaw, 2000)</w:t>
      </w:r>
      <w:r w:rsidR="00897213">
        <w:rPr>
          <w:sz w:val="24"/>
          <w:szCs w:val="24"/>
        </w:rPr>
        <w:t xml:space="preserve">. </w:t>
      </w:r>
      <w:r w:rsidR="007941D3">
        <w:rPr>
          <w:sz w:val="24"/>
          <w:szCs w:val="24"/>
        </w:rPr>
        <w:t>Probability and statistics problems that challenge an individual’s intuition, provides them with the opportunity to probe deeper and explore their understandings, and as a result, assist individuals in making more accurate predictions.</w:t>
      </w:r>
    </w:p>
    <w:p w14:paraId="2F0AB837" w14:textId="77777777" w:rsidR="00C165D0" w:rsidRDefault="007941D3" w:rsidP="0063398F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Finally, this module focussed on the importance of pooling data in probability and statistics mathematics.</w:t>
      </w:r>
      <w:r w:rsidR="00C165D0">
        <w:rPr>
          <w:sz w:val="24"/>
          <w:szCs w:val="24"/>
        </w:rPr>
        <w:t xml:space="preserve"> To ‘pool’ data, is to collect or combine empirical outcomes from many sets of trials to create one large set of outcomes (Aspinwall &amp; Tarr, 2002). Pooling data is integral to probability and statistics mathematics as it is the truest representation of </w:t>
      </w:r>
      <w:r w:rsidR="00C165D0">
        <w:rPr>
          <w:sz w:val="24"/>
          <w:szCs w:val="24"/>
        </w:rPr>
        <w:lastRenderedPageBreak/>
        <w:t>probability. In instances where the outcomes are unequal, pooling the data of many trials allows an individual to gain insights into the probability that may not have been possible from a smaller sample size.</w:t>
      </w:r>
    </w:p>
    <w:p w14:paraId="34963C0F" w14:textId="77777777" w:rsidR="00C165D0" w:rsidRDefault="00C165D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F417247" w14:textId="48B08CEC" w:rsidR="00ED56E3" w:rsidRPr="0063398F" w:rsidRDefault="00ED56E3" w:rsidP="0063398F">
      <w:pPr>
        <w:spacing w:line="480" w:lineRule="auto"/>
        <w:ind w:firstLine="720"/>
        <w:rPr>
          <w:b/>
          <w:sz w:val="24"/>
          <w:szCs w:val="24"/>
        </w:rPr>
      </w:pPr>
      <w:r w:rsidRPr="0063398F">
        <w:rPr>
          <w:b/>
          <w:sz w:val="24"/>
          <w:szCs w:val="24"/>
        </w:rPr>
        <w:lastRenderedPageBreak/>
        <w:t>Module B: Rational Number I</w:t>
      </w:r>
    </w:p>
    <w:p w14:paraId="633E79A9" w14:textId="46F876DF" w:rsidR="00FB698E" w:rsidRDefault="00100BE2" w:rsidP="0063398F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This module main focus was on the mathematical</w:t>
      </w:r>
      <w:r w:rsidR="0082750A">
        <w:rPr>
          <w:sz w:val="24"/>
          <w:szCs w:val="24"/>
        </w:rPr>
        <w:t xml:space="preserve"> concepts of </w:t>
      </w:r>
      <w:r w:rsidR="0018248E">
        <w:rPr>
          <w:sz w:val="24"/>
          <w:szCs w:val="24"/>
        </w:rPr>
        <w:t xml:space="preserve">quantity fractions, </w:t>
      </w:r>
      <w:r w:rsidR="0018248E">
        <w:rPr>
          <w:sz w:val="24"/>
          <w:szCs w:val="24"/>
        </w:rPr>
        <w:t>interpretations of fractions</w:t>
      </w:r>
      <w:r w:rsidR="0018248E">
        <w:rPr>
          <w:sz w:val="24"/>
          <w:szCs w:val="24"/>
        </w:rPr>
        <w:t xml:space="preserve">, and </w:t>
      </w:r>
      <w:r w:rsidR="0082750A">
        <w:rPr>
          <w:sz w:val="24"/>
          <w:szCs w:val="24"/>
        </w:rPr>
        <w:t>iterating and partitioning</w:t>
      </w:r>
      <w:r w:rsidR="0018248E">
        <w:rPr>
          <w:sz w:val="24"/>
          <w:szCs w:val="24"/>
        </w:rPr>
        <w:t>.</w:t>
      </w:r>
      <w:r w:rsidR="008F35A8">
        <w:rPr>
          <w:sz w:val="24"/>
          <w:szCs w:val="24"/>
        </w:rPr>
        <w:t xml:space="preserve"> </w:t>
      </w:r>
      <w:r w:rsidR="0018248E">
        <w:rPr>
          <w:sz w:val="24"/>
          <w:szCs w:val="24"/>
        </w:rPr>
        <w:t>Quantity fractions are abstract rational numbers that are between zero and one, and are not part of a whole (Gould, 2013).</w:t>
      </w:r>
      <w:r w:rsidR="00FB698E">
        <w:rPr>
          <w:sz w:val="24"/>
          <w:szCs w:val="24"/>
        </w:rPr>
        <w:t xml:space="preserve"> It is important to understand that quantity fractions are unique numbers that are just as tangible as counting numbers.</w:t>
      </w:r>
    </w:p>
    <w:p w14:paraId="1AFA20F8" w14:textId="59DBE073" w:rsidR="0018248E" w:rsidRDefault="0018248E" w:rsidP="0063398F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Another of the concepts that was a focus of this module was the interpretations of fractions. There are five main interpretations of fractions that differ depending on the context, they are fractions as parts of a whole or set; fractions as a result of dividing two numbers; as the ratio of two quantities; as operations, and as measures (Beyranevand &amp; Gaskin, 2006).</w:t>
      </w:r>
      <w:r>
        <w:rPr>
          <w:sz w:val="24"/>
          <w:szCs w:val="24"/>
        </w:rPr>
        <w:t xml:space="preserve"> By having a clear understanding of t</w:t>
      </w:r>
      <w:r w:rsidR="00FB698E">
        <w:rPr>
          <w:sz w:val="24"/>
          <w:szCs w:val="24"/>
        </w:rPr>
        <w:t xml:space="preserve">he differences of each </w:t>
      </w:r>
      <w:r>
        <w:rPr>
          <w:sz w:val="24"/>
          <w:szCs w:val="24"/>
        </w:rPr>
        <w:t>interpre</w:t>
      </w:r>
      <w:r w:rsidR="00FB698E">
        <w:rPr>
          <w:sz w:val="24"/>
          <w:szCs w:val="24"/>
        </w:rPr>
        <w:t>tation</w:t>
      </w:r>
      <w:r>
        <w:rPr>
          <w:sz w:val="24"/>
          <w:szCs w:val="24"/>
        </w:rPr>
        <w:t xml:space="preserve"> of fractions, one is able to </w:t>
      </w:r>
      <w:r w:rsidR="00FB698E">
        <w:rPr>
          <w:sz w:val="24"/>
          <w:szCs w:val="24"/>
        </w:rPr>
        <w:t xml:space="preserve">critically examine a problem involving fractions and use an appropriate model to come to a solution. </w:t>
      </w:r>
    </w:p>
    <w:p w14:paraId="1B7FB1A9" w14:textId="17A68857" w:rsidR="00301EDC" w:rsidRDefault="008F35A8" w:rsidP="0063398F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Iterating consists of making duplicates of a smaller amount and combining them to create a larger whole, while partitioning consists of creating smaller, equal sized amounts of a larger whole (Siebert &amp; Gaskin, 2006). Iteration and portioning </w:t>
      </w:r>
      <w:r w:rsidR="002553C4">
        <w:rPr>
          <w:sz w:val="24"/>
          <w:szCs w:val="24"/>
        </w:rPr>
        <w:t>are</w:t>
      </w:r>
      <w:r>
        <w:rPr>
          <w:sz w:val="24"/>
          <w:szCs w:val="24"/>
        </w:rPr>
        <w:t xml:space="preserve"> important to rational number </w:t>
      </w:r>
      <w:r w:rsidR="002553C4">
        <w:rPr>
          <w:sz w:val="24"/>
          <w:szCs w:val="24"/>
        </w:rPr>
        <w:t>as they offer a visual representation of fractions on a linear model, in order to consolidate an individual’</w:t>
      </w:r>
      <w:r w:rsidR="0018248E">
        <w:rPr>
          <w:sz w:val="24"/>
          <w:szCs w:val="24"/>
        </w:rPr>
        <w:t xml:space="preserve">s understanding of the relationship between the parts and the whole (Gould, 2013). </w:t>
      </w:r>
    </w:p>
    <w:p w14:paraId="342A9484" w14:textId="0F56883E" w:rsidR="008F35A8" w:rsidRPr="0063398F" w:rsidRDefault="008F35A8" w:rsidP="0063398F">
      <w:pPr>
        <w:spacing w:line="480" w:lineRule="auto"/>
        <w:ind w:firstLine="720"/>
        <w:rPr>
          <w:sz w:val="24"/>
          <w:szCs w:val="24"/>
        </w:rPr>
      </w:pPr>
    </w:p>
    <w:p w14:paraId="16BA3189" w14:textId="77777777" w:rsidR="00C165D0" w:rsidRDefault="00C165D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9495DB5" w14:textId="148A3FB1" w:rsidR="00ED56E3" w:rsidRPr="0063398F" w:rsidRDefault="00ED56E3" w:rsidP="0063398F">
      <w:pPr>
        <w:spacing w:line="480" w:lineRule="auto"/>
        <w:ind w:firstLine="720"/>
        <w:rPr>
          <w:b/>
          <w:sz w:val="24"/>
          <w:szCs w:val="24"/>
        </w:rPr>
      </w:pPr>
      <w:r w:rsidRPr="0063398F">
        <w:rPr>
          <w:b/>
          <w:sz w:val="24"/>
          <w:szCs w:val="24"/>
        </w:rPr>
        <w:lastRenderedPageBreak/>
        <w:t>Module C: Algebraic Thinking</w:t>
      </w:r>
    </w:p>
    <w:p w14:paraId="177235A6" w14:textId="3725FD6D" w:rsidR="00301EDC" w:rsidRPr="00882367" w:rsidRDefault="00100BE2" w:rsidP="0063398F">
      <w:pPr>
        <w:spacing w:line="480" w:lineRule="auto"/>
        <w:ind w:firstLine="720"/>
      </w:pPr>
      <w:r>
        <w:rPr>
          <w:sz w:val="24"/>
          <w:szCs w:val="24"/>
        </w:rPr>
        <w:t xml:space="preserve">The main mathematical concepts that this module focussed on were equality, generalisation and visualisation, and flexibility. In </w:t>
      </w:r>
      <w:r w:rsidR="0009775A">
        <w:rPr>
          <w:sz w:val="24"/>
          <w:szCs w:val="24"/>
        </w:rPr>
        <w:t>mathematics</w:t>
      </w:r>
      <w:r>
        <w:rPr>
          <w:sz w:val="24"/>
          <w:szCs w:val="24"/>
        </w:rPr>
        <w:t xml:space="preserve">, equality refers to the </w:t>
      </w:r>
      <w:r w:rsidR="00DD2F14">
        <w:rPr>
          <w:sz w:val="24"/>
          <w:szCs w:val="24"/>
        </w:rPr>
        <w:t xml:space="preserve">relationship between two expressions with the same value, often represented on either side of an equals sign (Falkner, Levi &amp; Carpenter, 1999). Understanding the equality of expressions is essential to </w:t>
      </w:r>
      <w:r w:rsidR="00882367">
        <w:rPr>
          <w:sz w:val="24"/>
          <w:szCs w:val="24"/>
        </w:rPr>
        <w:t xml:space="preserve">algebraic thinking because in is the foundation for solving equations with an unknown variable. For instance, </w:t>
      </w:r>
      <w:r w:rsidR="00882367">
        <w:rPr>
          <w:sz w:val="24"/>
          <w:szCs w:val="24"/>
        </w:rPr>
        <w:t xml:space="preserve">8 + 7 = </w:t>
      </w:r>
      <w:r w:rsidR="00882367">
        <w:rPr>
          <w:i/>
          <w:sz w:val="24"/>
          <w:szCs w:val="24"/>
        </w:rPr>
        <w:t>x</w:t>
      </w:r>
      <w:r w:rsidR="00882367">
        <w:rPr>
          <w:sz w:val="24"/>
          <w:szCs w:val="24"/>
        </w:rPr>
        <w:t xml:space="preserve"> + 9,</w:t>
      </w:r>
      <w:r w:rsidR="00882367">
        <w:rPr>
          <w:sz w:val="24"/>
          <w:szCs w:val="24"/>
        </w:rPr>
        <w:t xml:space="preserve"> an individual who does not have a firm understanding that both sides of the equals side have the same value, will look at this expression and claim that </w:t>
      </w:r>
      <w:r w:rsidR="00882367">
        <w:rPr>
          <w:i/>
          <w:sz w:val="24"/>
          <w:szCs w:val="24"/>
        </w:rPr>
        <w:t>x</w:t>
      </w:r>
      <w:r w:rsidR="00882367">
        <w:rPr>
          <w:sz w:val="24"/>
          <w:szCs w:val="24"/>
        </w:rPr>
        <w:t xml:space="preserve">= 15, instead of the correct answer of </w:t>
      </w:r>
      <w:r w:rsidR="00882367">
        <w:rPr>
          <w:i/>
          <w:sz w:val="24"/>
          <w:szCs w:val="24"/>
        </w:rPr>
        <w:t>x</w:t>
      </w:r>
      <w:r w:rsidR="00882367">
        <w:rPr>
          <w:sz w:val="24"/>
          <w:szCs w:val="24"/>
        </w:rPr>
        <w:t>=6.</w:t>
      </w:r>
    </w:p>
    <w:p w14:paraId="5D205261" w14:textId="673B4293" w:rsidR="00BF5912" w:rsidRDefault="00BF5912" w:rsidP="00BF5912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 main mathematical concept that was a focus for this module was v</w:t>
      </w:r>
      <w:r>
        <w:rPr>
          <w:sz w:val="24"/>
          <w:szCs w:val="24"/>
        </w:rPr>
        <w:t>isualisation</w:t>
      </w:r>
      <w:r>
        <w:rPr>
          <w:sz w:val="24"/>
          <w:szCs w:val="24"/>
        </w:rPr>
        <w:t xml:space="preserve"> and generalisation</w:t>
      </w:r>
      <w:r w:rsidR="0082750A">
        <w:rPr>
          <w:sz w:val="24"/>
          <w:szCs w:val="24"/>
        </w:rPr>
        <w:t xml:space="preserve">. Visualisation </w:t>
      </w:r>
      <w:r>
        <w:rPr>
          <w:sz w:val="24"/>
          <w:szCs w:val="24"/>
        </w:rPr>
        <w:t>refers to a ‘way of seeing’ a pattern or sequence</w:t>
      </w:r>
      <w:r w:rsidR="0082750A">
        <w:rPr>
          <w:sz w:val="24"/>
          <w:szCs w:val="24"/>
        </w:rPr>
        <w:t>, and generalisation is a rule that is the algebraic expression of a visualisation</w:t>
      </w:r>
      <w:r>
        <w:rPr>
          <w:sz w:val="24"/>
          <w:szCs w:val="24"/>
        </w:rPr>
        <w:t xml:space="preserve"> (Rivera, 2007).</w:t>
      </w:r>
      <w:r>
        <w:rPr>
          <w:sz w:val="24"/>
          <w:szCs w:val="24"/>
        </w:rPr>
        <w:t xml:space="preserve"> </w:t>
      </w:r>
      <w:r w:rsidR="0082750A">
        <w:rPr>
          <w:sz w:val="24"/>
          <w:szCs w:val="24"/>
        </w:rPr>
        <w:t xml:space="preserve"> These concepts are important aspects of algebraic thinking, as it shows an ability to notice the changes in each iteration of a pattern, and applying a general rule means that an individual understands the variables and constants of a sequence.</w:t>
      </w:r>
    </w:p>
    <w:p w14:paraId="6042F502" w14:textId="2142361E" w:rsidR="00C165D0" w:rsidRDefault="00F11B90" w:rsidP="0063398F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Finally, this module focussed on the concept of f</w:t>
      </w:r>
      <w:r w:rsidR="00DD2F14">
        <w:rPr>
          <w:sz w:val="24"/>
          <w:szCs w:val="24"/>
        </w:rPr>
        <w:t xml:space="preserve">lexibility, refers to the ability to switch from one way of thinking about an algebraic equation to another way of thinking </w:t>
      </w:r>
      <w:r w:rsidR="0009775A">
        <w:rPr>
          <w:sz w:val="24"/>
          <w:szCs w:val="24"/>
        </w:rPr>
        <w:t>(Brown, 2008).</w:t>
      </w:r>
      <w:r>
        <w:rPr>
          <w:sz w:val="24"/>
          <w:szCs w:val="24"/>
        </w:rPr>
        <w:t xml:space="preserve"> </w:t>
      </w:r>
      <w:r w:rsidR="00B304EA">
        <w:rPr>
          <w:sz w:val="24"/>
          <w:szCs w:val="24"/>
        </w:rPr>
        <w:t xml:space="preserve">When given problems that involve algebraic thinking, it can be helpful to solve by swapping between multiple ways of thinking, for instance using balance scales and solving algebraically. </w:t>
      </w:r>
      <w:r w:rsidR="00BF5912">
        <w:rPr>
          <w:sz w:val="24"/>
          <w:szCs w:val="24"/>
        </w:rPr>
        <w:t xml:space="preserve">Flexibility is important to algebraic thinking as it develops an individual’s relational understanding of the mathematics, but building connections between the multiple ways of thinking. </w:t>
      </w:r>
    </w:p>
    <w:p w14:paraId="5588E29C" w14:textId="77777777" w:rsidR="00C165D0" w:rsidRDefault="00C165D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6B88BB" w14:textId="214E7C4B" w:rsidR="00C165D0" w:rsidRDefault="00C165D0" w:rsidP="00C165D0">
      <w:pPr>
        <w:spacing w:line="480" w:lineRule="auto"/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References</w:t>
      </w:r>
    </w:p>
    <w:p w14:paraId="19D3B510" w14:textId="367B6D4B" w:rsidR="00C165D0" w:rsidRPr="00C165D0" w:rsidRDefault="00C165D0" w:rsidP="00C165D0">
      <w:pPr>
        <w:spacing w:line="48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Aspinwall, L., &amp; Shaw, K. (2000). Enriching students’ mathematical intuitions with probability games and tree diagrams. </w:t>
      </w:r>
      <w:r>
        <w:rPr>
          <w:i/>
          <w:sz w:val="24"/>
          <w:szCs w:val="24"/>
        </w:rPr>
        <w:t>Mathematics Teaching in the Middle School, 6</w:t>
      </w:r>
      <w:r>
        <w:rPr>
          <w:sz w:val="24"/>
          <w:szCs w:val="24"/>
        </w:rPr>
        <w:t>(4), 214-220.</w:t>
      </w:r>
    </w:p>
    <w:p w14:paraId="5B031F7D" w14:textId="2E7C2D72" w:rsidR="00C165D0" w:rsidRDefault="00C165D0" w:rsidP="00C165D0">
      <w:pPr>
        <w:spacing w:line="48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Aspinwall, L., &amp; Tarr, J. E. (2002). The number of trials does matter. </w:t>
      </w:r>
      <w:r>
        <w:rPr>
          <w:i/>
          <w:sz w:val="24"/>
          <w:szCs w:val="24"/>
        </w:rPr>
        <w:t>Mathematics Teaching in the Middle School, 8</w:t>
      </w:r>
      <w:r>
        <w:rPr>
          <w:sz w:val="24"/>
          <w:szCs w:val="24"/>
        </w:rPr>
        <w:t>(2), 106-108.</w:t>
      </w:r>
    </w:p>
    <w:p w14:paraId="35A34803" w14:textId="75342B03" w:rsidR="002553C4" w:rsidRPr="002553C4" w:rsidRDefault="002553C4" w:rsidP="00C165D0">
      <w:pPr>
        <w:spacing w:line="48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Beyranevand, D., &amp; Gaskin, N. (2006). The different representations of rational numbers. </w:t>
      </w:r>
      <w:r>
        <w:rPr>
          <w:i/>
          <w:sz w:val="24"/>
          <w:szCs w:val="24"/>
        </w:rPr>
        <w:t>Mathematics Teaching in the Middle School, 19</w:t>
      </w:r>
      <w:r>
        <w:rPr>
          <w:sz w:val="24"/>
          <w:szCs w:val="24"/>
        </w:rPr>
        <w:t>(6), 382-385.</w:t>
      </w:r>
    </w:p>
    <w:p w14:paraId="6CE83598" w14:textId="0C43CB7D" w:rsidR="00BF5912" w:rsidRPr="002553C4" w:rsidRDefault="00BF5912" w:rsidP="00C165D0">
      <w:pPr>
        <w:spacing w:line="48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Brown, J. (2008). Structuring ma</w:t>
      </w:r>
      <w:r w:rsidRPr="002553C4">
        <w:rPr>
          <w:sz w:val="24"/>
          <w:szCs w:val="24"/>
        </w:rPr>
        <w:t xml:space="preserve">thematical thinking in the primary years [Keynote Address]. In J. Vincent, R. Pierce, &amp; J. Dowsey (Eds.), </w:t>
      </w:r>
      <w:r w:rsidR="00FB698E">
        <w:rPr>
          <w:i/>
          <w:sz w:val="24"/>
          <w:szCs w:val="24"/>
        </w:rPr>
        <w:t>Co</w:t>
      </w:r>
      <w:r w:rsidRPr="002553C4">
        <w:rPr>
          <w:i/>
          <w:sz w:val="24"/>
          <w:szCs w:val="24"/>
        </w:rPr>
        <w:t>nnected maths.</w:t>
      </w:r>
      <w:r w:rsidRPr="002553C4">
        <w:rPr>
          <w:sz w:val="24"/>
          <w:szCs w:val="24"/>
        </w:rPr>
        <w:t xml:space="preserve"> Proceedings of the 45</w:t>
      </w:r>
      <w:r w:rsidRPr="002553C4">
        <w:rPr>
          <w:sz w:val="24"/>
          <w:szCs w:val="24"/>
          <w:vertAlign w:val="superscript"/>
        </w:rPr>
        <w:t>th</w:t>
      </w:r>
      <w:r w:rsidRPr="002553C4">
        <w:rPr>
          <w:sz w:val="24"/>
          <w:szCs w:val="24"/>
        </w:rPr>
        <w:t xml:space="preserve"> annual conference of the Mathematical Association of Victoria (MAV), (pp. 40-53). Melbourne, Victoria: MAV.</w:t>
      </w:r>
    </w:p>
    <w:p w14:paraId="65A48E7A" w14:textId="78D8545E" w:rsidR="00882367" w:rsidRPr="00882367" w:rsidRDefault="00882367" w:rsidP="00C165D0">
      <w:pPr>
        <w:spacing w:line="480" w:lineRule="auto"/>
        <w:ind w:left="720" w:hanging="720"/>
        <w:rPr>
          <w:sz w:val="24"/>
          <w:szCs w:val="24"/>
        </w:rPr>
      </w:pPr>
      <w:r w:rsidRPr="002553C4">
        <w:rPr>
          <w:sz w:val="24"/>
          <w:szCs w:val="24"/>
        </w:rPr>
        <w:t>Falkner, K., Levi, L., &amp; Carpenter</w:t>
      </w:r>
      <w:r>
        <w:rPr>
          <w:sz w:val="24"/>
          <w:szCs w:val="24"/>
        </w:rPr>
        <w:t xml:space="preserve">, T. (1999). Children’s understanding of equality: A foundation for algebra. </w:t>
      </w:r>
      <w:r>
        <w:rPr>
          <w:i/>
          <w:sz w:val="24"/>
          <w:szCs w:val="24"/>
        </w:rPr>
        <w:t>Teaching Children Mathematics, 6</w:t>
      </w:r>
      <w:r>
        <w:rPr>
          <w:sz w:val="24"/>
          <w:szCs w:val="24"/>
        </w:rPr>
        <w:t>(4), 232-236.</w:t>
      </w:r>
    </w:p>
    <w:p w14:paraId="3CC1FCE6" w14:textId="17DC6971" w:rsidR="00C165D0" w:rsidRDefault="00C165D0" w:rsidP="00C165D0">
      <w:pPr>
        <w:spacing w:line="48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Fielding-Wells, J. Where’s your evidence? Challenging young students’ equiprobability bias through argumentation. In K. Makar, B. de Sousa, &amp; R. Gould (Eds.), </w:t>
      </w:r>
      <w:r>
        <w:rPr>
          <w:i/>
          <w:sz w:val="24"/>
          <w:szCs w:val="24"/>
        </w:rPr>
        <w:t>Sustainability in statistics education.</w:t>
      </w:r>
      <w:r>
        <w:rPr>
          <w:sz w:val="24"/>
          <w:szCs w:val="24"/>
        </w:rPr>
        <w:t xml:space="preserve"> Proceedings of the Ninth International Conference on Teaching Statistics (ICOTS9, July, 2014), Flagstaff, </w:t>
      </w:r>
      <w:bookmarkStart w:id="0" w:name="_GoBack"/>
      <w:bookmarkEnd w:id="0"/>
      <w:r>
        <w:rPr>
          <w:sz w:val="24"/>
          <w:szCs w:val="24"/>
        </w:rPr>
        <w:t>Arizona, USA. Voorburg, The Netherlands: International Statistics Institute.</w:t>
      </w:r>
    </w:p>
    <w:p w14:paraId="7DC5DC5A" w14:textId="1986E62A" w:rsidR="0018248E" w:rsidRDefault="0018248E" w:rsidP="00C165D0">
      <w:pPr>
        <w:spacing w:line="48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Gould, P. (2013). Australia’s next top fraction model. </w:t>
      </w:r>
      <w:r>
        <w:rPr>
          <w:i/>
          <w:sz w:val="24"/>
          <w:szCs w:val="24"/>
        </w:rPr>
        <w:t>Australian Primary Mathematics Classroom, 18</w:t>
      </w:r>
      <w:r>
        <w:rPr>
          <w:sz w:val="24"/>
          <w:szCs w:val="24"/>
        </w:rPr>
        <w:t>(3), 5-12.</w:t>
      </w:r>
    </w:p>
    <w:p w14:paraId="20720098" w14:textId="697D1DB3" w:rsidR="002553C4" w:rsidRPr="002553C4" w:rsidRDefault="002553C4" w:rsidP="00C165D0">
      <w:pPr>
        <w:spacing w:line="48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Rivera, F. (2007). Visualising as a mathematical way of knowing: Understanding figural generalisation. </w:t>
      </w:r>
      <w:r>
        <w:rPr>
          <w:i/>
          <w:sz w:val="24"/>
          <w:szCs w:val="24"/>
        </w:rPr>
        <w:t>Mathematics Teacher, 101</w:t>
      </w:r>
      <w:r>
        <w:rPr>
          <w:sz w:val="24"/>
          <w:szCs w:val="24"/>
        </w:rPr>
        <w:t>(1), 69-75.</w:t>
      </w:r>
    </w:p>
    <w:p w14:paraId="4821E67F" w14:textId="6605DDE0" w:rsidR="002553C4" w:rsidRPr="0063398F" w:rsidRDefault="002553C4" w:rsidP="00C165D0">
      <w:pPr>
        <w:spacing w:line="48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Siebert, D., &amp; Gaskin, N. (2006). Creating, naming, and justifying fractions. </w:t>
      </w:r>
      <w:r>
        <w:rPr>
          <w:i/>
          <w:sz w:val="24"/>
          <w:szCs w:val="24"/>
        </w:rPr>
        <w:t>Teaching Children Mathematics, 12</w:t>
      </w:r>
      <w:r>
        <w:rPr>
          <w:sz w:val="24"/>
          <w:szCs w:val="24"/>
        </w:rPr>
        <w:t>(8), 394-400.</w:t>
      </w:r>
    </w:p>
    <w:sectPr w:rsidR="002553C4" w:rsidRPr="00633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AAD5C" w14:textId="77777777" w:rsidR="007941D3" w:rsidRDefault="007941D3" w:rsidP="007941D3">
      <w:pPr>
        <w:spacing w:after="0" w:line="240" w:lineRule="auto"/>
      </w:pPr>
      <w:r>
        <w:separator/>
      </w:r>
    </w:p>
  </w:endnote>
  <w:endnote w:type="continuationSeparator" w:id="0">
    <w:p w14:paraId="76224133" w14:textId="77777777" w:rsidR="007941D3" w:rsidRDefault="007941D3" w:rsidP="0079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BC394" w14:textId="77777777" w:rsidR="007941D3" w:rsidRDefault="007941D3" w:rsidP="007941D3">
      <w:pPr>
        <w:spacing w:after="0" w:line="240" w:lineRule="auto"/>
      </w:pPr>
      <w:r>
        <w:separator/>
      </w:r>
    </w:p>
  </w:footnote>
  <w:footnote w:type="continuationSeparator" w:id="0">
    <w:p w14:paraId="7C635F97" w14:textId="77777777" w:rsidR="007941D3" w:rsidRDefault="007941D3" w:rsidP="00794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E3"/>
    <w:rsid w:val="0009775A"/>
    <w:rsid w:val="00100BE2"/>
    <w:rsid w:val="0018248E"/>
    <w:rsid w:val="002553C4"/>
    <w:rsid w:val="002B48F4"/>
    <w:rsid w:val="00301EDC"/>
    <w:rsid w:val="00562897"/>
    <w:rsid w:val="0063398F"/>
    <w:rsid w:val="007825CE"/>
    <w:rsid w:val="007941D3"/>
    <w:rsid w:val="007E5B67"/>
    <w:rsid w:val="0082750A"/>
    <w:rsid w:val="00864AC4"/>
    <w:rsid w:val="00882367"/>
    <w:rsid w:val="00897213"/>
    <w:rsid w:val="008F35A8"/>
    <w:rsid w:val="00B304EA"/>
    <w:rsid w:val="00BF5912"/>
    <w:rsid w:val="00C165D0"/>
    <w:rsid w:val="00C65672"/>
    <w:rsid w:val="00CB50EA"/>
    <w:rsid w:val="00DD2F14"/>
    <w:rsid w:val="00E86244"/>
    <w:rsid w:val="00ED56E3"/>
    <w:rsid w:val="00F11B90"/>
    <w:rsid w:val="00F44037"/>
    <w:rsid w:val="00FB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80DF43"/>
  <w15:chartTrackingRefBased/>
  <w15:docId w15:val="{0D51280A-BCA8-4F67-9A70-0D398BDC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1D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4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1D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3</cp:revision>
  <dcterms:created xsi:type="dcterms:W3CDTF">2016-05-04T11:23:00Z</dcterms:created>
  <dcterms:modified xsi:type="dcterms:W3CDTF">2016-05-09T04:24:00Z</dcterms:modified>
</cp:coreProperties>
</file>